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b/>
                <w:bCs/>
                <w:sz w:val="27"/>
                <w:szCs w:val="27"/>
              </w:rPr>
              <w:t>Exile</w:t>
            </w: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sz w:val="20"/>
                <w:szCs w:val="20"/>
              </w:rPr>
              <w:t>PAPERBACK NOVEL (2007)</w:t>
            </w: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sz w:val="20"/>
                <w:szCs w:val="20"/>
              </w:rPr>
              <w:t>Aaron Allston</w:t>
            </w: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i/>
                <w:iCs/>
                <w:sz w:val="20"/>
                <w:szCs w:val="20"/>
              </w:rPr>
              <w:t>Del Rey</w:t>
            </w: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b/>
                <w:bCs/>
                <w:sz w:val="15"/>
                <w:szCs w:val="15"/>
              </w:rPr>
              <w:t xml:space="preserve">Also published as </w:t>
            </w:r>
            <w:hyperlink r:id="rId6" w:anchor="ab" w:history="1">
              <w:r>
                <w:rPr>
                  <w:rStyle w:val="Hyperlink"/>
                  <w:rFonts w:ascii="Arial" w:hAnsi="Arial" w:cs="Arial"/>
                  <w:b/>
                  <w:bCs/>
                  <w:sz w:val="15"/>
                  <w:szCs w:val="15"/>
                </w:rPr>
                <w:t>Audiobook</w:t>
              </w:r>
            </w:hyperlink>
            <w:r>
              <w:rPr>
                <w:rFonts w:ascii="Arial" w:hAnsi="Arial" w:cs="Arial"/>
                <w:b/>
                <w:bCs/>
                <w:sz w:val="15"/>
                <w:szCs w:val="15"/>
              </w:rPr>
              <w:t xml:space="preserve"> | </w:t>
            </w:r>
            <w:hyperlink r:id="rId7" w:anchor="eb" w:history="1">
              <w:r>
                <w:rPr>
                  <w:rStyle w:val="Hyperlink"/>
                  <w:rFonts w:ascii="Arial" w:hAnsi="Arial" w:cs="Arial"/>
                  <w:b/>
                  <w:bCs/>
                  <w:sz w:val="15"/>
                  <w:szCs w:val="15"/>
                </w:rPr>
                <w:t>eBook</w:t>
              </w:r>
            </w:hyperlink>
          </w:p>
        </w:tc>
      </w:tr>
      <w:tr w:rsidR="00795621">
        <w:trPr>
          <w:trHeight w:val="375"/>
          <w:tblCellSpacing w:w="0" w:type="dxa"/>
        </w:trPr>
        <w:tc>
          <w:tcPr>
            <w:tcW w:w="5000" w:type="pct"/>
            <w:vAlign w:val="center"/>
            <w:hideMark/>
          </w:tcPr>
          <w:p w:rsidR="00795621" w:rsidRDefault="00795621">
            <w:pPr>
              <w:rPr>
                <w:rFonts w:ascii="Arial" w:hAnsi="Arial" w:cs="Arial"/>
                <w:sz w:val="24"/>
                <w:szCs w:val="24"/>
              </w:rPr>
            </w:pP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b/>
                <w:bCs/>
                <w:sz w:val="20"/>
                <w:szCs w:val="20"/>
              </w:rPr>
              <w:t>Synopsis:</w:t>
            </w:r>
            <w:r>
              <w:rPr>
                <w:rFonts w:ascii="Arial" w:hAnsi="Arial" w:cs="Arial"/>
                <w:sz w:val="20"/>
                <w:szCs w:val="20"/>
              </w:rPr>
              <w:br/>
              <w:t>In the Star Wars galaxy, evil is on the move as the Galactic Alliance and Jedi order battle forces seen and unseen, from rampant internal treachery to the nightmare of all-out war.</w:t>
            </w:r>
            <w:r>
              <w:rPr>
                <w:rFonts w:ascii="Arial" w:hAnsi="Arial" w:cs="Arial"/>
                <w:sz w:val="20"/>
                <w:szCs w:val="20"/>
              </w:rPr>
              <w:br/>
              <w:t>With each victory against the Corellian rebels, Jacen Solo becomes more admired, more powerful, and more certain of achieving galactic peace. But that peace may come with a price. Despite strained relationships caused by opposing sympathies in the war, Han and Leia Solo and Luke and Mara Skywalker remain united by one frightening suspicion: Someone insidious is manipulating this war, and if he or she isn't stopped, all efforts at reconciliation may be for naught. And as sinister visions lead Luke to believe that the source of the evil is none other than Lumiya, Dark Lady of the Sith, the greatest peril revolves around Jacen himself.</w:t>
            </w:r>
          </w:p>
        </w:tc>
      </w:tr>
      <w:tr w:rsidR="00795621">
        <w:trPr>
          <w:trHeight w:val="375"/>
          <w:tblCellSpacing w:w="0" w:type="dxa"/>
        </w:trPr>
        <w:tc>
          <w:tcPr>
            <w:tcW w:w="5000" w:type="pct"/>
            <w:vAlign w:val="center"/>
            <w:hideMark/>
          </w:tcPr>
          <w:p w:rsidR="00795621" w:rsidRDefault="00795621">
            <w:pPr>
              <w:rPr>
                <w:rFonts w:ascii="Arial" w:hAnsi="Arial" w:cs="Arial"/>
                <w:sz w:val="24"/>
                <w:szCs w:val="24"/>
              </w:rPr>
            </w:pPr>
          </w:p>
        </w:tc>
      </w:tr>
      <w:tr w:rsidR="00795621">
        <w:trPr>
          <w:tblCellSpacing w:w="0" w:type="dxa"/>
        </w:trPr>
        <w:tc>
          <w:tcPr>
            <w:tcW w:w="5000" w:type="pct"/>
            <w:vAlign w:val="center"/>
            <w:hideMark/>
          </w:tcPr>
          <w:p w:rsidR="00795621" w:rsidRDefault="00795621">
            <w:pPr>
              <w:rPr>
                <w:rFonts w:ascii="Arial" w:hAnsi="Arial" w:cs="Arial"/>
                <w:sz w:val="24"/>
                <w:szCs w:val="24"/>
              </w:rPr>
            </w:pPr>
            <w:r>
              <w:rPr>
                <w:rFonts w:ascii="Arial" w:hAnsi="Arial" w:cs="Arial"/>
                <w:b/>
                <w:bCs/>
                <w:sz w:val="20"/>
                <w:szCs w:val="20"/>
              </w:rPr>
              <w:t>Chronology:</w:t>
            </w:r>
            <w:r>
              <w:rPr>
                <w:rFonts w:ascii="Arial" w:hAnsi="Arial" w:cs="Arial"/>
                <w:sz w:val="20"/>
                <w:szCs w:val="20"/>
              </w:rPr>
              <w:br/>
              <w:t>This story occurs approximately 40 years after the Battle of Yavin</w:t>
            </w:r>
          </w:p>
        </w:tc>
      </w:tr>
    </w:tbl>
    <w:p w:rsidR="00865B77" w:rsidRPr="00795621" w:rsidRDefault="00865B77" w:rsidP="00795621"/>
    <w:sectPr w:rsidR="00865B77" w:rsidRPr="00795621" w:rsidSect="00865B7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34A" w:rsidRDefault="00C7434A" w:rsidP="00EC3FFA">
      <w:pPr>
        <w:spacing w:after="0" w:line="240" w:lineRule="auto"/>
      </w:pPr>
      <w:r>
        <w:separator/>
      </w:r>
    </w:p>
  </w:endnote>
  <w:endnote w:type="continuationSeparator" w:id="1">
    <w:p w:rsidR="00C7434A" w:rsidRDefault="00C7434A"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34A" w:rsidRDefault="00C7434A" w:rsidP="00EC3FFA">
      <w:pPr>
        <w:spacing w:after="0" w:line="240" w:lineRule="auto"/>
      </w:pPr>
      <w:r>
        <w:separator/>
      </w:r>
    </w:p>
  </w:footnote>
  <w:footnote w:type="continuationSeparator" w:id="1">
    <w:p w:rsidR="00C7434A" w:rsidRDefault="00C7434A" w:rsidP="00EC3FF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A495E"/>
    <w:rsid w:val="000002AC"/>
    <w:rsid w:val="003A7B13"/>
    <w:rsid w:val="00432014"/>
    <w:rsid w:val="005546A9"/>
    <w:rsid w:val="00696B66"/>
    <w:rsid w:val="006F6690"/>
    <w:rsid w:val="00795621"/>
    <w:rsid w:val="007A495E"/>
    <w:rsid w:val="00865B77"/>
    <w:rsid w:val="009A6708"/>
    <w:rsid w:val="00C71810"/>
    <w:rsid w:val="00C7434A"/>
    <w:rsid w:val="00D24211"/>
    <w:rsid w:val="00EC3FFA"/>
    <w:rsid w:val="00F04770"/>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wbooks.co.uk/legacy/exil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wbooks.co.uk/legacy/exile.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972</Characters>
  <Application>Microsoft Office Word</Application>
  <DocSecurity>0</DocSecurity>
  <Lines>8</Lines>
  <Paragraphs>2</Paragraphs>
  <ScaleCrop>false</ScaleCrop>
  <Company>Beebops-World.com</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2008-08-10T21:45:00Z</dcterms:created>
  <dcterms:modified xsi:type="dcterms:W3CDTF">2008-08-10T21:45:00Z</dcterms:modified>
</cp:coreProperties>
</file>